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Pre-plasterboard inspection checklist</w:t>
      </w:r>
    </w:p>
    <w:p>
      <w:pPr>
        <w:spacing w:after="120" w:before="0"/>
      </w:pPr>
      <w:r>
        <w:rPr>
          <w:rFonts w:ascii="Arial" w:hAnsi="Arial"/>
          <w:b w:val="0"/>
          <w:i w:val="0"/>
          <w:color w:val="5B6470"/>
          <w:sz w:val="20"/>
        </w:rPr>
        <w:t>Pre-lining check: walls and ceilings before sheeting</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0546"/>
      </w:tblGrid>
      <w:tr>
        <w:tc>
          <w:tcPr>
            <w:tcW w:type="dxa" w:w="10546"/>
            <w:shd w:val="clear" w:color="auto" w:fill="F3F4F6"/>
          </w:tcPr>
          <w:p>
            <w:pPr>
              <w:spacing w:after="0" w:before="0"/>
            </w:pPr>
            <w:r>
              <w:rPr>
                <w:rFonts w:ascii="Arial" w:hAnsi="Arial"/>
                <w:b w:val="0"/>
                <w:i w:val="0"/>
                <w:color w:val="2B3038"/>
                <w:sz w:val="17"/>
              </w:rPr>
              <w:t>Complete room by room before any wall or ceiling lining is fixed. Check against the plans, electrical and plumbing layouts, the BASIX certificate or energy compliance documents, and fire and acoustic details where they apply.</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Inspection details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Site</w:t>
            </w:r>
          </w:p>
        </w:tc>
        <w:tc>
          <w:tcPr>
            <w:tcW w:type="dxa" w:w="3163"/>
          </w:tcPr>
          <w:p/>
        </w:tc>
        <w:tc>
          <w:tcPr>
            <w:tcW w:type="dxa" w:w="2109"/>
            <w:shd w:val="clear" w:color="auto" w:fill="F3F4F6"/>
          </w:tcPr>
          <w:p>
            <w:pPr>
              <w:spacing w:after="0" w:before="0"/>
            </w:pPr>
            <w:r>
              <w:rPr>
                <w:rFonts w:ascii="Arial" w:hAnsi="Arial"/>
                <w:b/>
                <w:i w:val="0"/>
                <w:sz w:val="17"/>
              </w:rPr>
              <w:t>Date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Frame inspection closed out (date)</w:t>
            </w:r>
          </w:p>
        </w:tc>
        <w:tc>
          <w:tcPr>
            <w:tcW w:type="dxa" w:w="3163"/>
          </w:tcPr>
          <w:p/>
        </w:tc>
        <w:tc>
          <w:tcPr>
            <w:tcW w:type="dxa" w:w="2109"/>
            <w:shd w:val="clear" w:color="auto" w:fill="F3F4F6"/>
          </w:tcPr>
          <w:p>
            <w:pPr>
              <w:spacing w:after="0" w:before="0"/>
            </w:pPr>
            <w:r>
              <w:rPr>
                <w:rFonts w:ascii="Arial" w:hAnsi="Arial"/>
                <w:b/>
                <w:i w:val="0"/>
                <w:sz w:val="17"/>
              </w:rPr>
              <w:t>Lock-up complete?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BASIX certificate / energy compliance reference</w:t>
            </w:r>
          </w:p>
        </w:tc>
        <w:tc>
          <w:tcPr>
            <w:tcW w:type="dxa" w:w="3163"/>
          </w:tcPr>
          <w:p/>
        </w:tc>
        <w:tc>
          <w:tcPr>
            <w:tcW w:type="dxa" w:w="2109"/>
            <w:shd w:val="clear" w:color="auto" w:fill="F3F4F6"/>
          </w:tcPr>
          <w:p>
            <w:pPr>
              <w:spacing w:after="0" w:before="0"/>
            </w:pPr>
            <w:r>
              <w:rPr>
                <w:rFonts w:ascii="Arial" w:hAnsi="Arial"/>
                <w:b/>
                <w:i w:val="0"/>
                <w:sz w:val="17"/>
              </w:rPr>
              <w:t>Inspected by</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Insulation and sarking</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External wall insulation type and rating as specified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Ceiling insulation type and rating as specified (or scheduled before ceiling lining)</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Insulation fitted without gaps, compression or missing sections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Insulation kept clear of downlights and heat sources as the product requires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Internal acoustic insulation where specified (bathrooms, bedrooms, media)</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Wall wrap or sarking intact, lapped and taped at openings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Insulation matches BASIX or energy compliance commitments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8</w:t>
            </w:r>
          </w:p>
        </w:tc>
        <w:tc>
          <w:tcPr>
            <w:tcW w:type="dxa" w:w="5317"/>
          </w:tcPr>
          <w:p>
            <w:pPr>
              <w:spacing w:after="0" w:before="0"/>
            </w:pPr>
            <w:r>
              <w:rPr>
                <w:rFonts w:ascii="Arial" w:hAnsi="Arial"/>
                <w:b w:val="0"/>
                <w:i w:val="0"/>
                <w:sz w:val="17"/>
              </w:rPr>
              <w:t>Evidence kept for the certifier (product details, photos)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Services rough-in</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Electrical rough-in complete to the electrical layout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Switch and power point heights and positions confirmed with owner selections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Data, TV and security cabling in place</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Smoke alarm positions and interconnection wiring as required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Plumbing rough-in complete and pressure-tested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Tap, mixer and outlet heights correct for selected fittings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Gas rough-in complete and tested (licensed gasfitter)</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8</w:t>
            </w:r>
          </w:p>
        </w:tc>
        <w:tc>
          <w:tcPr>
            <w:tcW w:type="dxa" w:w="5317"/>
          </w:tcPr>
          <w:p>
            <w:pPr>
              <w:spacing w:after="0" w:before="0"/>
            </w:pPr>
            <w:r>
              <w:rPr>
                <w:rFonts w:ascii="Arial" w:hAnsi="Arial"/>
                <w:b w:val="0"/>
                <w:i w:val="0"/>
                <w:sz w:val="17"/>
              </w:rPr>
              <w:t>HVAC ducts, exhaust fans and ducting to outside installed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9</w:t>
            </w:r>
          </w:p>
        </w:tc>
        <w:tc>
          <w:tcPr>
            <w:tcW w:type="dxa" w:w="5317"/>
          </w:tcPr>
          <w:p>
            <w:pPr>
              <w:spacing w:after="0" w:before="0"/>
            </w:pPr>
            <w:r>
              <w:rPr>
                <w:rFonts w:ascii="Arial" w:hAnsi="Arial"/>
                <w:b w:val="0"/>
                <w:i w:val="0"/>
                <w:sz w:val="17"/>
              </w:rPr>
              <w:t>Nail plates over pipes and cables passing through studs and plates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10</w:t>
            </w:r>
          </w:p>
        </w:tc>
        <w:tc>
          <w:tcPr>
            <w:tcW w:type="dxa" w:w="5317"/>
          </w:tcPr>
          <w:p>
            <w:pPr>
              <w:spacing w:after="0" w:before="0"/>
            </w:pPr>
            <w:r>
              <w:rPr>
                <w:rFonts w:ascii="Arial" w:hAnsi="Arial"/>
                <w:b w:val="0"/>
                <w:i w:val="0"/>
                <w:sz w:val="17"/>
              </w:rPr>
              <w:t>No cables or pipes in positions where fixings will go</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Noggings and blocking</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Kitchen cabinetry and overhead cupboards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Vanities and wall-hung basins or toilets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Towel rails, toilet roll holders and robe hooks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Shower screens and bath screens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Grab rails, and blocking for future grab rails where specified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TV and heavy wall mounts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Curtain and blind fixings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8</w:t>
            </w:r>
          </w:p>
        </w:tc>
        <w:tc>
          <w:tcPr>
            <w:tcW w:type="dxa" w:w="5317"/>
          </w:tcPr>
          <w:p>
            <w:pPr>
              <w:spacing w:after="0" w:before="0"/>
            </w:pPr>
            <w:r>
              <w:rPr>
                <w:rFonts w:ascii="Arial" w:hAnsi="Arial"/>
                <w:b w:val="0"/>
                <w:i w:val="0"/>
                <w:sz w:val="17"/>
              </w:rPr>
              <w:t>Plasterboard edge and joint support as the lining manufacturer requires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5. Wet area, fire and acoustic details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443"/>
            <w:shd w:val="clear" w:color="auto" w:fill="2A2E35"/>
          </w:tcPr>
          <w:p>
            <w:pPr>
              <w:spacing w:after="0" w:before="0"/>
            </w:pPr>
            <w:r>
              <w:rPr>
                <w:rFonts w:ascii="Arial" w:hAnsi="Arial"/>
                <w:b/>
                <w:i w:val="0"/>
                <w:color w:val="FFFFFF"/>
                <w:sz w:val="16"/>
              </w:rPr>
              <w:t>#</w:t>
            </w:r>
          </w:p>
        </w:tc>
        <w:tc>
          <w:tcPr>
            <w:tcW w:type="dxa" w:w="5317"/>
            <w:shd w:val="clear" w:color="auto" w:fill="2A2E35"/>
          </w:tcPr>
          <w:p>
            <w:pPr>
              <w:spacing w:after="0" w:before="0"/>
            </w:pPr>
            <w:r>
              <w:rPr>
                <w:rFonts w:ascii="Arial" w:hAnsi="Arial"/>
                <w:b/>
                <w:i w:val="0"/>
                <w:color w:val="FFFFFF"/>
                <w:sz w:val="16"/>
              </w:rPr>
              <w:t>Check</w:t>
            </w:r>
          </w:p>
        </w:tc>
        <w:tc>
          <w:tcPr>
            <w:tcW w:type="dxa" w:w="709"/>
            <w:shd w:val="clear" w:color="auto" w:fill="2A2E35"/>
          </w:tcPr>
          <w:p>
            <w:pPr>
              <w:spacing w:after="0" w:before="0"/>
            </w:pPr>
            <w:r>
              <w:rPr>
                <w:rFonts w:ascii="Arial" w:hAnsi="Arial"/>
                <w:b/>
                <w:i w:val="0"/>
                <w:color w:val="FFFFFF"/>
                <w:sz w:val="16"/>
              </w:rPr>
              <w:t>Yes</w:t>
            </w:r>
          </w:p>
        </w:tc>
        <w:tc>
          <w:tcPr>
            <w:tcW w:type="dxa" w:w="709"/>
            <w:shd w:val="clear" w:color="auto" w:fill="2A2E35"/>
          </w:tcPr>
          <w:p>
            <w:pPr>
              <w:spacing w:after="0" w:before="0"/>
            </w:pPr>
            <w:r>
              <w:rPr>
                <w:rFonts w:ascii="Arial" w:hAnsi="Arial"/>
                <w:b/>
                <w:i w:val="0"/>
                <w:color w:val="FFFFFF"/>
                <w:sz w:val="16"/>
              </w:rPr>
              <w:t>No</w:t>
            </w:r>
          </w:p>
        </w:tc>
        <w:tc>
          <w:tcPr>
            <w:tcW w:type="dxa" w:w="709"/>
            <w:shd w:val="clear" w:color="auto" w:fill="2A2E35"/>
          </w:tcPr>
          <w:p>
            <w:pPr>
              <w:spacing w:after="0" w:before="0"/>
            </w:pPr>
            <w:r>
              <w:rPr>
                <w:rFonts w:ascii="Arial" w:hAnsi="Arial"/>
                <w:b/>
                <w:i w:val="0"/>
                <w:color w:val="FFFFFF"/>
                <w:sz w:val="16"/>
              </w:rPr>
              <w:t>N/A</w:t>
            </w:r>
          </w:p>
        </w:tc>
        <w:tc>
          <w:tcPr>
            <w:tcW w:type="dxa" w:w="2658"/>
            <w:shd w:val="clear" w:color="auto" w:fill="2A2E35"/>
          </w:tcPr>
          <w:p>
            <w:pPr>
              <w:spacing w:after="0" w:before="0"/>
            </w:pPr>
            <w:r>
              <w:rPr>
                <w:rFonts w:ascii="Arial" w:hAnsi="Arial"/>
                <w:b/>
                <w:i w:val="0"/>
                <w:color w:val="FFFFFF"/>
                <w:sz w:val="16"/>
              </w:rPr>
              <w:t>Comments / action</w:t>
            </w:r>
          </w:p>
        </w:tc>
      </w:tr>
      <w:tr>
        <w:trPr>
          <w:cantSplit/>
        </w:trPr>
        <w:tc>
          <w:tcPr>
            <w:tcW w:type="dxa" w:w="443"/>
          </w:tcPr>
          <w:p>
            <w:pPr>
              <w:spacing w:after="0" w:before="0"/>
              <w:jc w:val="center"/>
            </w:pPr>
            <w:r>
              <w:rPr>
                <w:rFonts w:ascii="Arial" w:hAnsi="Arial"/>
                <w:b w:val="0"/>
                <w:i w:val="0"/>
                <w:color w:val="5B6470"/>
                <w:sz w:val="16"/>
              </w:rPr>
              <w:t>1</w:t>
            </w:r>
          </w:p>
        </w:tc>
        <w:tc>
          <w:tcPr>
            <w:tcW w:type="dxa" w:w="5317"/>
          </w:tcPr>
          <w:p>
            <w:pPr>
              <w:spacing w:after="0" w:before="0"/>
            </w:pPr>
            <w:r>
              <w:rPr>
                <w:rFonts w:ascii="Arial" w:hAnsi="Arial"/>
                <w:b w:val="0"/>
                <w:i w:val="0"/>
                <w:sz w:val="17"/>
              </w:rPr>
              <w:t>Water-resistant lining board specified for wet areas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2</w:t>
            </w:r>
          </w:p>
        </w:tc>
        <w:tc>
          <w:tcPr>
            <w:tcW w:type="dxa" w:w="5317"/>
          </w:tcPr>
          <w:p>
            <w:pPr>
              <w:spacing w:after="0" w:before="0"/>
            </w:pPr>
            <w:r>
              <w:rPr>
                <w:rFonts w:ascii="Arial" w:hAnsi="Arial"/>
                <w:b w:val="0"/>
                <w:i w:val="0"/>
                <w:sz w:val="17"/>
              </w:rPr>
              <w:t>Wet area frame and noggings ready for waterproofing details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3</w:t>
            </w:r>
          </w:p>
        </w:tc>
        <w:tc>
          <w:tcPr>
            <w:tcW w:type="dxa" w:w="5317"/>
          </w:tcPr>
          <w:p>
            <w:pPr>
              <w:spacing w:after="0" w:before="0"/>
            </w:pPr>
            <w:r>
              <w:rPr>
                <w:rFonts w:ascii="Arial" w:hAnsi="Arial"/>
                <w:b w:val="0"/>
                <w:i w:val="0"/>
                <w:sz w:val="17"/>
              </w:rPr>
              <w:t>Fire-rated linings and systems in fire-separating walls or ceilings as designed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4</w:t>
            </w:r>
          </w:p>
        </w:tc>
        <w:tc>
          <w:tcPr>
            <w:tcW w:type="dxa" w:w="5317"/>
          </w:tcPr>
          <w:p>
            <w:pPr>
              <w:spacing w:after="0" w:before="0"/>
            </w:pPr>
            <w:r>
              <w:rPr>
                <w:rFonts w:ascii="Arial" w:hAnsi="Arial"/>
                <w:b w:val="0"/>
                <w:i w:val="0"/>
                <w:sz w:val="17"/>
              </w:rPr>
              <w:t>Penetrations in fire-rated elements to be sealed with approved systems</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5</w:t>
            </w:r>
          </w:p>
        </w:tc>
        <w:tc>
          <w:tcPr>
            <w:tcW w:type="dxa" w:w="5317"/>
          </w:tcPr>
          <w:p>
            <w:pPr>
              <w:spacing w:after="0" w:before="0"/>
            </w:pPr>
            <w:r>
              <w:rPr>
                <w:rFonts w:ascii="Arial" w:hAnsi="Arial"/>
                <w:b w:val="0"/>
                <w:i w:val="0"/>
                <w:sz w:val="17"/>
              </w:rPr>
              <w:t>Acoustic wall and ceiling systems as designed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6</w:t>
            </w:r>
          </w:p>
        </w:tc>
        <w:tc>
          <w:tcPr>
            <w:tcW w:type="dxa" w:w="5317"/>
          </w:tcPr>
          <w:p>
            <w:pPr>
              <w:spacing w:after="0" w:before="0"/>
            </w:pPr>
            <w:r>
              <w:rPr>
                <w:rFonts w:ascii="Arial" w:hAnsi="Arial"/>
                <w:b w:val="0"/>
                <w:i w:val="0"/>
                <w:sz w:val="17"/>
              </w:rPr>
              <w:t>Garage-to-house door and wall details as designed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r>
        <w:trPr>
          <w:cantSplit/>
        </w:trPr>
        <w:tc>
          <w:tcPr>
            <w:tcW w:type="dxa" w:w="443"/>
          </w:tcPr>
          <w:p>
            <w:pPr>
              <w:spacing w:after="0" w:before="0"/>
              <w:jc w:val="center"/>
            </w:pPr>
            <w:r>
              <w:rPr>
                <w:rFonts w:ascii="Arial" w:hAnsi="Arial"/>
                <w:b w:val="0"/>
                <w:i w:val="0"/>
                <w:color w:val="5B6470"/>
                <w:sz w:val="16"/>
              </w:rPr>
              <w:t>7</w:t>
            </w:r>
          </w:p>
        </w:tc>
        <w:tc>
          <w:tcPr>
            <w:tcW w:type="dxa" w:w="5317"/>
          </w:tcPr>
          <w:p>
            <w:pPr>
              <w:spacing w:after="0" w:before="0"/>
            </w:pPr>
            <w:r>
              <w:rPr>
                <w:rFonts w:ascii="Arial" w:hAnsi="Arial"/>
                <w:b w:val="0"/>
                <w:i w:val="0"/>
                <w:sz w:val="17"/>
              </w:rPr>
              <w:t>Frame straight and flush enough for linings (high studs planed or packed)</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709"/>
          </w:tcPr>
          <w:p>
            <w:pPr>
              <w:spacing w:after="0" w:before="0"/>
              <w:jc w:val="center"/>
            </w:pPr>
            <w:r>
              <w:rPr>
                <w:rFonts w:ascii="Arial" w:hAnsi="Arial"/>
                <w:b w:val="0"/>
                <w:i w:val="0"/>
                <w:sz w:val="22"/>
              </w:rPr>
              <w:t>☐</w:t>
            </w:r>
          </w:p>
        </w:tc>
        <w:tc>
          <w:tcPr>
            <w:tcW w:type="dxa" w:w="2658"/>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6. Room-by-room notes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1861"/>
            <w:shd w:val="clear" w:color="auto" w:fill="2A2E35"/>
          </w:tcPr>
          <w:p>
            <w:pPr>
              <w:spacing w:after="0" w:before="0"/>
            </w:pPr>
            <w:r>
              <w:rPr>
                <w:rFonts w:ascii="Arial" w:hAnsi="Arial"/>
                <w:b/>
                <w:i w:val="0"/>
                <w:color w:val="FFFFFF"/>
                <w:sz w:val="16"/>
              </w:rPr>
              <w:t>Room</w:t>
            </w:r>
          </w:p>
        </w:tc>
        <w:tc>
          <w:tcPr>
            <w:tcW w:type="dxa" w:w="4652"/>
            <w:shd w:val="clear" w:color="auto" w:fill="2A2E35"/>
          </w:tcPr>
          <w:p>
            <w:pPr>
              <w:spacing w:after="0" w:before="0"/>
            </w:pPr>
            <w:r>
              <w:rPr>
                <w:rFonts w:ascii="Arial" w:hAnsi="Arial"/>
                <w:b/>
                <w:i w:val="0"/>
                <w:color w:val="FFFFFF"/>
                <w:sz w:val="16"/>
              </w:rPr>
              <w:t>Issue</w:t>
            </w:r>
          </w:p>
        </w:tc>
        <w:tc>
          <w:tcPr>
            <w:tcW w:type="dxa" w:w="2791"/>
            <w:shd w:val="clear" w:color="auto" w:fill="2A2E35"/>
          </w:tcPr>
          <w:p>
            <w:pPr>
              <w:spacing w:after="0" w:before="0"/>
            </w:pPr>
            <w:r>
              <w:rPr>
                <w:rFonts w:ascii="Arial" w:hAnsi="Arial"/>
                <w:b/>
                <w:i w:val="0"/>
                <w:color w:val="FFFFFF"/>
                <w:sz w:val="16"/>
              </w:rPr>
              <w:t>Action / who</w:t>
            </w:r>
          </w:p>
        </w:tc>
        <w:tc>
          <w:tcPr>
            <w:tcW w:type="dxa" w:w="1241"/>
            <w:shd w:val="clear" w:color="auto" w:fill="2A2E35"/>
          </w:tcPr>
          <w:p>
            <w:pPr>
              <w:spacing w:after="0" w:before="0"/>
            </w:pPr>
            <w:r>
              <w:rPr>
                <w:rFonts w:ascii="Arial" w:hAnsi="Arial"/>
                <w:b/>
                <w:i w:val="0"/>
                <w:color w:val="FFFFFF"/>
                <w:sz w:val="16"/>
              </w:rPr>
              <w:t>Done</w:t>
            </w:r>
          </w:p>
        </w:tc>
      </w:tr>
      <w:tr>
        <w:trPr>
          <w:trHeight w:val="510" w:hRule="atLeast"/>
          <w:cantSplit/>
        </w:trPr>
        <w:tc>
          <w:tcPr>
            <w:tcW w:type="dxa" w:w="1861"/>
          </w:tcPr>
          <w:p/>
        </w:tc>
        <w:tc>
          <w:tcPr>
            <w:tcW w:type="dxa" w:w="4652"/>
          </w:tcPr>
          <w:p/>
        </w:tc>
        <w:tc>
          <w:tcPr>
            <w:tcW w:type="dxa" w:w="2791"/>
          </w:tcPr>
          <w:p/>
        </w:tc>
        <w:tc>
          <w:tcPr>
            <w:tcW w:type="dxa" w:w="1241"/>
          </w:tcPr>
          <w:p/>
        </w:tc>
      </w:tr>
      <w:tr>
        <w:trPr>
          <w:trHeight w:val="510" w:hRule="atLeast"/>
          <w:cantSplit/>
        </w:trPr>
        <w:tc>
          <w:tcPr>
            <w:tcW w:type="dxa" w:w="1861"/>
          </w:tcPr>
          <w:p/>
        </w:tc>
        <w:tc>
          <w:tcPr>
            <w:tcW w:type="dxa" w:w="4652"/>
          </w:tcPr>
          <w:p/>
        </w:tc>
        <w:tc>
          <w:tcPr>
            <w:tcW w:type="dxa" w:w="2791"/>
          </w:tcPr>
          <w:p/>
        </w:tc>
        <w:tc>
          <w:tcPr>
            <w:tcW w:type="dxa" w:w="1241"/>
          </w:tcPr>
          <w:p/>
        </w:tc>
      </w:tr>
      <w:tr>
        <w:trPr>
          <w:trHeight w:val="510" w:hRule="atLeast"/>
          <w:cantSplit/>
        </w:trPr>
        <w:tc>
          <w:tcPr>
            <w:tcW w:type="dxa" w:w="1861"/>
          </w:tcPr>
          <w:p/>
        </w:tc>
        <w:tc>
          <w:tcPr>
            <w:tcW w:type="dxa" w:w="4652"/>
          </w:tcPr>
          <w:p/>
        </w:tc>
        <w:tc>
          <w:tcPr>
            <w:tcW w:type="dxa" w:w="2791"/>
          </w:tcPr>
          <w:p/>
        </w:tc>
        <w:tc>
          <w:tcPr>
            <w:tcW w:type="dxa" w:w="1241"/>
          </w:tcPr>
          <w:p/>
        </w:tc>
      </w:tr>
      <w:tr>
        <w:trPr>
          <w:trHeight w:val="510" w:hRule="atLeast"/>
          <w:cantSplit/>
        </w:trPr>
        <w:tc>
          <w:tcPr>
            <w:tcW w:type="dxa" w:w="1861"/>
          </w:tcPr>
          <w:p/>
        </w:tc>
        <w:tc>
          <w:tcPr>
            <w:tcW w:type="dxa" w:w="4652"/>
          </w:tcPr>
          <w:p/>
        </w:tc>
        <w:tc>
          <w:tcPr>
            <w:tcW w:type="dxa" w:w="2791"/>
          </w:tcPr>
          <w:p/>
        </w:tc>
        <w:tc>
          <w:tcPr>
            <w:tcW w:type="dxa" w:w="1241"/>
          </w:tcPr>
          <w:p/>
        </w:tc>
      </w:tr>
      <w:tr>
        <w:trPr>
          <w:trHeight w:val="510" w:hRule="atLeast"/>
          <w:cantSplit/>
        </w:trPr>
        <w:tc>
          <w:tcPr>
            <w:tcW w:type="dxa" w:w="1861"/>
          </w:tcPr>
          <w:p/>
        </w:tc>
        <w:tc>
          <w:tcPr>
            <w:tcW w:type="dxa" w:w="4652"/>
          </w:tcPr>
          <w:p/>
        </w:tc>
        <w:tc>
          <w:tcPr>
            <w:tcW w:type="dxa" w:w="2791"/>
          </w:tcPr>
          <w:p/>
        </w:tc>
        <w:tc>
          <w:tcPr>
            <w:tcW w:type="dxa" w:w="1241"/>
          </w:tcPr>
          <w:p/>
        </w:tc>
      </w:tr>
      <w:tr>
        <w:trPr>
          <w:trHeight w:val="510" w:hRule="atLeast"/>
          <w:cantSplit/>
        </w:trPr>
        <w:tc>
          <w:tcPr>
            <w:tcW w:type="dxa" w:w="1861"/>
          </w:tcPr>
          <w:p/>
        </w:tc>
        <w:tc>
          <w:tcPr>
            <w:tcW w:type="dxa" w:w="4652"/>
          </w:tcPr>
          <w:p/>
        </w:tc>
        <w:tc>
          <w:tcPr>
            <w:tcW w:type="dxa" w:w="2791"/>
          </w:tcPr>
          <w:p/>
        </w:tc>
        <w:tc>
          <w:tcPr>
            <w:tcW w:type="dxa" w:w="1241"/>
          </w:tcPr>
          <w:p/>
        </w:tc>
      </w:tr>
      <w:tr>
        <w:trPr>
          <w:trHeight w:val="510" w:hRule="atLeast"/>
          <w:cantSplit/>
        </w:trPr>
        <w:tc>
          <w:tcPr>
            <w:tcW w:type="dxa" w:w="1861"/>
          </w:tcPr>
          <w:p/>
        </w:tc>
        <w:tc>
          <w:tcPr>
            <w:tcW w:type="dxa" w:w="4652"/>
          </w:tcPr>
          <w:p/>
        </w:tc>
        <w:tc>
          <w:tcPr>
            <w:tcW w:type="dxa" w:w="2791"/>
          </w:tcPr>
          <w:p/>
        </w:tc>
        <w:tc>
          <w:tcPr>
            <w:tcW w:type="dxa" w:w="1241"/>
          </w:tcPr>
          <w:p/>
        </w:tc>
      </w:tr>
      <w:tr>
        <w:trPr>
          <w:trHeight w:val="510" w:hRule="atLeast"/>
          <w:cantSplit/>
        </w:trPr>
        <w:tc>
          <w:tcPr>
            <w:tcW w:type="dxa" w:w="1861"/>
          </w:tcPr>
          <w:p/>
        </w:tc>
        <w:tc>
          <w:tcPr>
            <w:tcW w:type="dxa" w:w="4652"/>
          </w:tcPr>
          <w:p/>
        </w:tc>
        <w:tc>
          <w:tcPr>
            <w:tcW w:type="dxa" w:w="2791"/>
          </w:tcPr>
          <w:p/>
        </w:tc>
        <w:tc>
          <w:tcPr>
            <w:tcW w:type="dxa" w:w="1241"/>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7. Released for lining</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Photos of every wall and ceiling taken?</w:t>
            </w:r>
          </w:p>
        </w:tc>
        <w:tc>
          <w:tcPr>
            <w:tcW w:type="dxa" w:w="3163"/>
          </w:tcPr>
          <w:p/>
        </w:tc>
        <w:tc>
          <w:tcPr>
            <w:tcW w:type="dxa" w:w="2109"/>
            <w:shd w:val="clear" w:color="auto" w:fill="F3F4F6"/>
          </w:tcPr>
          <w:p>
            <w:pPr>
              <w:spacing w:after="0" w:before="0"/>
            </w:pPr>
            <w:r>
              <w:rPr>
                <w:rFonts w:ascii="Arial" w:hAnsi="Arial"/>
                <w:b/>
                <w:i w:val="0"/>
                <w:sz w:val="17"/>
              </w:rPr>
              <w:t>Services tested and certified where required?</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Released by</w:t>
            </w:r>
          </w:p>
        </w:tc>
        <w:tc>
          <w:tcPr>
            <w:tcW w:type="dxa" w:w="3163"/>
          </w:tcPr>
          <w:p/>
        </w:tc>
        <w:tc>
          <w:tcPr>
            <w:tcW w:type="dxa" w:w="2109"/>
            <w:shd w:val="clear" w:color="auto" w:fill="F3F4F6"/>
          </w:tcPr>
          <w:p>
            <w:pPr>
              <w:spacing w:after="0" w:before="0"/>
            </w:pPr>
            <w:r>
              <w:rPr>
                <w:rFonts w:ascii="Arial" w:hAnsi="Arial"/>
                <w:b/>
                <w:i w:val="0"/>
                <w:sz w:val="17"/>
              </w:rPr>
              <w:t>Date</w:t>
            </w:r>
          </w:p>
        </w:tc>
        <w:tc>
          <w:tcPr>
            <w:tcW w:type="dxa" w:w="3163"/>
          </w:tcPr>
          <w:p/>
        </w:tc>
      </w:tr>
    </w:tbl>
    <w:p>
      <w:pPr>
        <w:spacing w:after="0" w:before="0"/>
      </w:pPr>
      <w:r>
        <w:rPr>
          <w:sz w:val="10"/>
        </w:rPr>
      </w:r>
    </w:p>
    <w:sectPr w:rsidR="00FC693F" w:rsidRPr="0006063C" w:rsidSect="00034616">
      <w:headerReference w:type="default" r:id="rId9"/>
      <w:footerReference w:type="default" r:id="rId10"/>
      <w:pgSz w:w="11906" w:h="16838"/>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rPr>
        <w:rFonts w:ascii="Arial" w:hAnsi="Arial"/>
        <w:color w:val="5B6470"/>
        <w:sz w:val="14"/>
      </w:rPr>
      <w:t>Template by PointCPD · pointcpd.com.au/resources/templates/pre-plasterboard-inspection-checklist/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5272"/>
      <w:gridCol w:w="5272"/>
    </w:tblGrid>
    <w:tr>
      <w:tc>
        <w:tcPr>
          <w:tcW w:type="dxa" w:w="2636"/>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7909"/>
          <w:vAlign w:val="center"/>
          <w:tcBorders>
            <w:bottom w:val="single" w:sz="18" w:space="0" w:color="FFC400"/>
          </w:tcBorders>
        </w:tcPr>
        <w:p>
          <w:pPr>
            <w:spacing w:after="0" w:before="0"/>
            <w:jc w:val="right"/>
          </w:pPr>
          <w:r>
            <w:rPr>
              <w:rFonts w:ascii="Arial" w:hAnsi="Arial"/>
              <w:b/>
              <w:i w:val="0"/>
              <w:sz w:val="22"/>
            </w:rPr>
            <w:t>Pre-plasterboard inspection checklist</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Pre-plasterboard inspection checklist</dc:title>
  <dc:subject>Free pre-plasterboard (pre-lining) inspection checklist in Word and PDF: insulation, services, noggings, wet area board, fire and acoustic details.</dc:subject>
  <dc:creator>PointCPD</dc:creator>
  <cp:keywords>pre plasterboard inspection checklist, pre lining inspection, pre plaster inspection checklist, pre sheeting inspection, lock up stage inspection checklist, pre lining checklist</cp:keywords>
  <dc:description>Free template by PointCPD (https://pointcpd.com.au/resources/templates/pre-plasterboard-inspection-checklist/).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