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Risk assessment and risk register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Construction project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Identify hazards, assess the risks, control them using the hierarchy of control, and review. Keep this register current for the life of the project.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Scope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Project / site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Client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737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Scope of this assessment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Whole project, stage or activity</w:t>
            </w:r>
          </w:p>
        </w:tc>
        <w:tc>
          <w:tcPr>
            <w:tcW w:type="dxa" w:w="12381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Prepared by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737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People consulted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Workers, subcontractors, HSR, designer</w:t>
            </w:r>
          </w:p>
        </w:tc>
        <w:tc>
          <w:tcPr>
            <w:tcW w:type="dxa" w:w="12381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Risk rating matrix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Likelihood ↓ / Consequence →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Insignificant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Minor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Moderate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Major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Catastrophic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Almost certain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Likely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Possible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Unlikely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Rare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</w:tr>
    </w:tbl>
    <w:p>
      <w:pPr>
        <w:spacing w:after="0"/>
      </w:pPr>
      <w:r>
        <w:rPr>
          <w:rFonts w:ascii="Arial" w:hAnsi="Arial"/>
          <w:b/>
          <w:sz w:val="16"/>
          <w:shd w:val="clear" w:fill="F8B4B6"/>
        </w:rPr>
        <w:t xml:space="preserve"> E </w:t>
      </w:r>
      <w:r>
        <w:rPr>
          <w:rFonts w:ascii="Arial" w:hAnsi="Arial"/>
          <w:sz w:val="16"/>
        </w:rPr>
        <w:t xml:space="preserve">  Extreme: do not start. Eliminate or redesign the task before any work.</w:t>
      </w:r>
    </w:p>
    <w:p>
      <w:pPr>
        <w:spacing w:after="0"/>
      </w:pPr>
      <w:r>
        <w:rPr>
          <w:rFonts w:ascii="Arial" w:hAnsi="Arial"/>
          <w:b/>
          <w:sz w:val="16"/>
          <w:shd w:val="clear" w:fill="FFD2A8"/>
        </w:rPr>
        <w:t xml:space="preserve"> H </w:t>
      </w:r>
      <w:r>
        <w:rPr>
          <w:rFonts w:ascii="Arial" w:hAnsi="Arial"/>
          <w:sz w:val="16"/>
        </w:rPr>
        <w:t xml:space="preserve">  High: work only with higher-order controls in place and a supervisor sign-off.</w:t>
      </w:r>
    </w:p>
    <w:p>
      <w:pPr>
        <w:spacing w:after="0"/>
      </w:pPr>
      <w:r>
        <w:rPr>
          <w:rFonts w:ascii="Arial" w:hAnsi="Arial"/>
          <w:b/>
          <w:sz w:val="16"/>
          <w:shd w:val="clear" w:fill="FFF1B8"/>
        </w:rPr>
        <w:t xml:space="preserve"> M </w:t>
      </w:r>
      <w:r>
        <w:rPr>
          <w:rFonts w:ascii="Arial" w:hAnsi="Arial"/>
          <w:sz w:val="16"/>
        </w:rPr>
        <w:t xml:space="preserve">  Medium: controls in place, monitored during the task.</w:t>
      </w:r>
    </w:p>
    <w:p>
      <w:pPr>
        <w:spacing w:after="0"/>
      </w:pPr>
      <w:r>
        <w:rPr>
          <w:rFonts w:ascii="Arial" w:hAnsi="Arial"/>
          <w:b/>
          <w:sz w:val="16"/>
          <w:shd w:val="clear" w:fill="CDEFD9"/>
        </w:rPr>
        <w:t xml:space="preserve"> L </w:t>
      </w:r>
      <w:r>
        <w:rPr>
          <w:rFonts w:ascii="Arial" w:hAnsi="Arial"/>
          <w:sz w:val="16"/>
        </w:rPr>
        <w:t xml:space="preserve">  Low: manage by routine procedures.</w:t>
      </w:r>
    </w:p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Hierarchy of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4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FFBEB"/>
            <w:tcBorders>
              <w:left w:val="single" w:sz="24" w:space="0" w:color="FFC400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Work from the top. 1 Eliminate the hazard. 2 Substitute with something safer. 3 Isolate people from the hazard. 4 Engineering controls such as guarding, extraction or edge protection. 5 Administrative controls: procedures, training, signage, supervision. 6 Personal protective equipment.</w:t>
            </w:r>
          </w:p>
          <w:p>
            <w:pPr>
              <w:spacing w:after="0" w:before="8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Levels 5 and 6 should support higher controls, not replace them. If the risk after controls is still high, change the method.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Risk register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51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192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Activity / area</w:t>
            </w:r>
          </w:p>
        </w:tc>
        <w:tc>
          <w:tcPr>
            <w:tcW w:type="dxa" w:w="207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Hazard</w:t>
            </w:r>
          </w:p>
        </w:tc>
        <w:tc>
          <w:tcPr>
            <w:tcW w:type="dxa" w:w="22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Who could be harmed and how</w:t>
            </w:r>
          </w:p>
        </w:tc>
        <w:tc>
          <w:tcPr>
            <w:tcW w:type="dxa" w:w="88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Risk before</w:t>
            </w:r>
          </w:p>
        </w:tc>
        <w:tc>
          <w:tcPr>
            <w:tcW w:type="dxa" w:w="4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Controls (highest order first)</w:t>
            </w:r>
          </w:p>
        </w:tc>
        <w:tc>
          <w:tcPr>
            <w:tcW w:type="dxa" w:w="88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Risk after</w:t>
            </w:r>
          </w:p>
        </w:tc>
        <w:tc>
          <w:tcPr>
            <w:tcW w:type="dxa" w:w="133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118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SWMS / JSA ref</w:t>
            </w:r>
          </w:p>
        </w:tc>
      </w:tr>
      <w:tr>
        <w:trPr>
          <w:cantSplit/>
        </w:trPr>
        <w:tc>
          <w:tcPr>
            <w:tcW w:type="dxa" w:w="518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1</w:t>
            </w:r>
          </w:p>
        </w:tc>
        <w:tc>
          <w:tcPr>
            <w:tcW w:type="dxa" w:w="192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Roof framing and sheeting</w:t>
            </w:r>
          </w:p>
        </w:tc>
        <w:tc>
          <w:tcPr>
            <w:tcW w:type="dxa" w:w="207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Fall from roof edge and through openings</w:t>
            </w:r>
          </w:p>
        </w:tc>
        <w:tc>
          <w:tcPr>
            <w:tcW w:type="dxa" w:w="222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Roofers and carpenters: serious injury or death</w:t>
            </w:r>
          </w:p>
        </w:tc>
        <w:tc>
          <w:tcPr>
            <w:tcW w:type="dxa" w:w="8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</w:t>
            </w:r>
          </w:p>
        </w:tc>
        <w:tc>
          <w:tcPr>
            <w:tcW w:type="dxa" w:w="44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Roof edge protection installed before roof work; openings covered and marked; harness system where edge protection is impracticable; work only with SWMS in place</w:t>
            </w:r>
          </w:p>
        </w:tc>
        <w:tc>
          <w:tcPr>
            <w:tcW w:type="dxa" w:w="8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M</w:t>
            </w:r>
          </w:p>
        </w:tc>
        <w:tc>
          <w:tcPr>
            <w:tcW w:type="dxa" w:w="133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Supervisor</w:t>
            </w:r>
          </w:p>
        </w:tc>
        <w:tc>
          <w:tcPr>
            <w:tcW w:type="dxa" w:w="118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SWMS-03</w:t>
            </w:r>
          </w:p>
        </w:tc>
      </w:tr>
      <w:tr>
        <w:trPr>
          <w:cantSplit/>
        </w:trPr>
        <w:tc>
          <w:tcPr>
            <w:tcW w:type="dxa" w:w="518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2</w:t>
            </w:r>
          </w:p>
        </w:tc>
        <w:tc>
          <w:tcPr>
            <w:tcW w:type="dxa" w:w="192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Site perimeter</w:t>
            </w:r>
          </w:p>
        </w:tc>
        <w:tc>
          <w:tcPr>
            <w:tcW w:type="dxa" w:w="207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Public entering site; neighbours' children</w:t>
            </w:r>
          </w:p>
        </w:tc>
        <w:tc>
          <w:tcPr>
            <w:tcW w:type="dxa" w:w="222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Members of the public: falls, struck by plant</w:t>
            </w:r>
          </w:p>
        </w:tc>
        <w:tc>
          <w:tcPr>
            <w:tcW w:type="dxa" w:w="8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44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Secure temporary fencing with lockable gates; signage with site contact; gates closed at end of day and checked</w:t>
            </w:r>
          </w:p>
        </w:tc>
        <w:tc>
          <w:tcPr>
            <w:tcW w:type="dxa" w:w="8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</w:t>
            </w:r>
          </w:p>
        </w:tc>
        <w:tc>
          <w:tcPr>
            <w:tcW w:type="dxa" w:w="133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Site manager</w:t>
            </w:r>
          </w:p>
        </w:tc>
        <w:tc>
          <w:tcPr>
            <w:tcW w:type="dxa" w:w="118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Site rules</w:t>
            </w:r>
          </w:p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  <w:tr>
        <w:trPr>
          <w:trHeight w:val="510" w:hRule="atLeast"/>
          <w:cantSplit/>
        </w:trPr>
        <w:tc>
          <w:tcPr>
            <w:tcW w:type="dxa" w:w="518"/>
          </w:tcPr>
          <w:p/>
        </w:tc>
        <w:tc>
          <w:tcPr>
            <w:tcW w:type="dxa" w:w="1925"/>
          </w:tcPr>
          <w:p/>
        </w:tc>
        <w:tc>
          <w:tcPr>
            <w:tcW w:type="dxa" w:w="2073"/>
          </w:tcPr>
          <w:p/>
        </w:tc>
        <w:tc>
          <w:tcPr>
            <w:tcW w:type="dxa" w:w="2222"/>
          </w:tcPr>
          <w:p/>
        </w:tc>
        <w:tc>
          <w:tcPr>
            <w:tcW w:type="dxa" w:w="889"/>
          </w:tcPr>
          <w:p/>
        </w:tc>
        <w:tc>
          <w:tcPr>
            <w:tcW w:type="dxa" w:w="4443"/>
          </w:tcPr>
          <w:p/>
        </w:tc>
        <w:tc>
          <w:tcPr>
            <w:tcW w:type="dxa" w:w="889"/>
          </w:tcPr>
          <w:p/>
        </w:tc>
        <w:tc>
          <w:tcPr>
            <w:tcW w:type="dxa" w:w="1333"/>
          </w:tcPr>
          <w:p/>
        </w:tc>
        <w:tc>
          <w:tcPr>
            <w:tcW w:type="dxa" w:w="118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SWMS and JSAs for this project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096"/>
        <w:gridCol w:w="3096"/>
        <w:gridCol w:w="3096"/>
        <w:gridCol w:w="3096"/>
        <w:gridCol w:w="3096"/>
      </w:tblGrid>
      <w:tr>
        <w:trPr>
          <w:tblHeader w:val="true"/>
        </w:trPr>
        <w:tc>
          <w:tcPr>
            <w:tcW w:type="dxa" w:w="176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Reference</w:t>
            </w:r>
          </w:p>
        </w:tc>
        <w:tc>
          <w:tcPr>
            <w:tcW w:type="dxa" w:w="552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Activity</w:t>
            </w:r>
          </w:p>
        </w:tc>
        <w:tc>
          <w:tcPr>
            <w:tcW w:type="dxa" w:w="353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Prepared by (company)</w:t>
            </w:r>
          </w:p>
        </w:tc>
        <w:tc>
          <w:tcPr>
            <w:tcW w:type="dxa" w:w="199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Received</w:t>
            </w:r>
          </w:p>
        </w:tc>
        <w:tc>
          <w:tcPr>
            <w:tcW w:type="dxa" w:w="265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Reviewed by</w:t>
            </w:r>
          </w:p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5528"/>
          </w:tcPr>
          <w:p/>
        </w:tc>
        <w:tc>
          <w:tcPr>
            <w:tcW w:type="dxa" w:w="3538"/>
          </w:tcPr>
          <w:p/>
        </w:tc>
        <w:tc>
          <w:tcPr>
            <w:tcW w:type="dxa" w:w="1990"/>
          </w:tcPr>
          <w:p/>
        </w:tc>
        <w:tc>
          <w:tcPr>
            <w:tcW w:type="dxa" w:w="2653"/>
          </w:tcPr>
          <w:p/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5528"/>
          </w:tcPr>
          <w:p/>
        </w:tc>
        <w:tc>
          <w:tcPr>
            <w:tcW w:type="dxa" w:w="3538"/>
          </w:tcPr>
          <w:p/>
        </w:tc>
        <w:tc>
          <w:tcPr>
            <w:tcW w:type="dxa" w:w="1990"/>
          </w:tcPr>
          <w:p/>
        </w:tc>
        <w:tc>
          <w:tcPr>
            <w:tcW w:type="dxa" w:w="2653"/>
          </w:tcPr>
          <w:p/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5528"/>
          </w:tcPr>
          <w:p/>
        </w:tc>
        <w:tc>
          <w:tcPr>
            <w:tcW w:type="dxa" w:w="3538"/>
          </w:tcPr>
          <w:p/>
        </w:tc>
        <w:tc>
          <w:tcPr>
            <w:tcW w:type="dxa" w:w="1990"/>
          </w:tcPr>
          <w:p/>
        </w:tc>
        <w:tc>
          <w:tcPr>
            <w:tcW w:type="dxa" w:w="2653"/>
          </w:tcPr>
          <w:p/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5528"/>
          </w:tcPr>
          <w:p/>
        </w:tc>
        <w:tc>
          <w:tcPr>
            <w:tcW w:type="dxa" w:w="3538"/>
          </w:tcPr>
          <w:p/>
        </w:tc>
        <w:tc>
          <w:tcPr>
            <w:tcW w:type="dxa" w:w="1990"/>
          </w:tcPr>
          <w:p/>
        </w:tc>
        <w:tc>
          <w:tcPr>
            <w:tcW w:type="dxa" w:w="2653"/>
          </w:tcPr>
          <w:p/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5528"/>
          </w:tcPr>
          <w:p/>
        </w:tc>
        <w:tc>
          <w:tcPr>
            <w:tcW w:type="dxa" w:w="3538"/>
          </w:tcPr>
          <w:p/>
        </w:tc>
        <w:tc>
          <w:tcPr>
            <w:tcW w:type="dxa" w:w="1990"/>
          </w:tcPr>
          <w:p/>
        </w:tc>
        <w:tc>
          <w:tcPr>
            <w:tcW w:type="dxa" w:w="265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Review record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Review at each new stage, when work methods or trades change, after an incident or near miss, and if a control is not working.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tblHeader w:val="true"/>
        </w:trPr>
        <w:tc>
          <w:tcPr>
            <w:tcW w:type="dxa" w:w="176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44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Reason for review</w:t>
            </w:r>
          </w:p>
        </w:tc>
        <w:tc>
          <w:tcPr>
            <w:tcW w:type="dxa" w:w="663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Changes made</w:t>
            </w:r>
          </w:p>
        </w:tc>
        <w:tc>
          <w:tcPr>
            <w:tcW w:type="dxa" w:w="265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Reviewed by</w:t>
            </w:r>
          </w:p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4422"/>
          </w:tcPr>
          <w:p/>
        </w:tc>
        <w:tc>
          <w:tcPr>
            <w:tcW w:type="dxa" w:w="6633"/>
          </w:tcPr>
          <w:p/>
        </w:tc>
        <w:tc>
          <w:tcPr>
            <w:tcW w:type="dxa" w:w="2653"/>
          </w:tcPr>
          <w:p/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4422"/>
          </w:tcPr>
          <w:p/>
        </w:tc>
        <w:tc>
          <w:tcPr>
            <w:tcW w:type="dxa" w:w="6633"/>
          </w:tcPr>
          <w:p/>
        </w:tc>
        <w:tc>
          <w:tcPr>
            <w:tcW w:type="dxa" w:w="2653"/>
          </w:tcPr>
          <w:p/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4422"/>
          </w:tcPr>
          <w:p/>
        </w:tc>
        <w:tc>
          <w:tcPr>
            <w:tcW w:type="dxa" w:w="6633"/>
          </w:tcPr>
          <w:p/>
        </w:tc>
        <w:tc>
          <w:tcPr>
            <w:tcW w:type="dxa" w:w="2653"/>
          </w:tcPr>
          <w:p/>
        </w:tc>
      </w:tr>
      <w:tr>
        <w:trPr>
          <w:trHeight w:val="510" w:hRule="atLeast"/>
          <w:cantSplit/>
        </w:trPr>
        <w:tc>
          <w:tcPr>
            <w:tcW w:type="dxa" w:w="1769"/>
          </w:tcPr>
          <w:p/>
        </w:tc>
        <w:tc>
          <w:tcPr>
            <w:tcW w:type="dxa" w:w="4422"/>
          </w:tcPr>
          <w:p/>
        </w:tc>
        <w:tc>
          <w:tcPr>
            <w:tcW w:type="dxa" w:w="6633"/>
          </w:tcPr>
          <w:p/>
        </w:tc>
        <w:tc>
          <w:tcPr>
            <w:tcW w:type="dxa" w:w="265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Approval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Approved by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Position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477" w:val="right"/>
      </w:tabs>
    </w:pPr>
    <w:r>
      <w:rPr>
        <w:rFonts w:ascii="Arial" w:hAnsi="Arial"/>
        <w:color w:val="5B6470"/>
        <w:sz w:val="14"/>
      </w:rPr>
      <w:t>Template by PointCPD · pointcpd.com.au/resources/templates/risk-assessment-template/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7739"/>
      <w:gridCol w:w="7739"/>
    </w:tblGrid>
    <w:tr>
      <w:tc>
        <w:tcPr>
          <w:tcW w:type="dxa" w:w="3869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11608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Risk assessment and risk register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and risk register</dc:title>
  <dc:subject>Free construction risk assessment template and risk register in Word and PDF, with a 5x5 risk matrix, hierarchy of control and review record.</dc:subject>
  <dc:creator>PointCPD</dc:creator>
  <cp:keywords>risk assessment template, construction risk assessment template, risk register template, risk matrix template, whs risk assessment template, risk assessment form</cp:keywords>
  <dc:description>Free template by PointCPD (https://pointcpd.com.au/resources/templates/risk-assessment-template/).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